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Dobrý den moji milí muzikanti a rodi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če, jelikož se moment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 nemůžeme společně sej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ít, posílám alespo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ň touto formou č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ást toho, co jsme si v hodin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 rozpracovali. 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ým nejv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áním je, aby se tento zp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ůsob komunikace nestal dlouhodob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ým. Pevn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 věř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 situace se bude zlepšovat a 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 se s vámi 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šemi budu zase moct radovat ze společn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ého zpívání a hraní si.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 poslední hodin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 jsme předevš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 pracovali s poslechem symfonie J. Haydna. Odkaz a podrobný popis práce máte ní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že.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Úvod k poslechu: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Podzim má v roce svou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ůležitou roli. Nemůže přeci přij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 z 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čeho nic prudk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zima. Je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řeba na zahradě otrhat jablka a hrušky, sklidit zeleninu ze zahr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ádky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řipravit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áhony na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řezimov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ání. Stromy shodí své listy a zví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átka si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řipravuj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své dome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čky na tuhou zimu. Kluci a holky jsou bezradn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proto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letn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sporty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přestaly a zimn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 nezačaly. Podzimn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období je také dobou tane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zábav a ples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  V dř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dobách, kdy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už měli lid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připraveno na zimu, se chodilo za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ábavou na plesy a bály. Odjak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živa tomu tak bylo, jenomže dř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íve se tan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čily jin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tance a hrála jiná muzika 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v dnešn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ě.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ánové se oblékali do krásných oblek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ílých pun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čoch, na hlav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ách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ěly klobouky a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ámy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ěly na sobě ty nejkr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šaty,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ěly. Plesy se poř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ádaly v prostorách krásných zámk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do tance jim hr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ála nádherná muzika. Kdy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už byli všichni host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 zámku, tak si spole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čně pov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ídali o tom, jak se jim 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byli rádi,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se společně opět setkali. Proto, aby mohl ples zač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ít, musela kapela ohlásit jeho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átek. A to byl signál, aby se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šichni host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shromá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ždili v tanečn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sále a mohlo se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 tan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čit. Poslechni si, jak to ta kapela dovedla. K určen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posta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úvod symfonie (do 2. minuty)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J. Haydn Symfonie G dur 2.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ěta Andante S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Úderem kotl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https://www.youtube.com/watch?v=VOLy6JxEDLw</w:t>
        </w:r>
      </w:hyperlink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nyní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ěkolik 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ázek k poslechu: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Pozná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š, jak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nástroj nejvýrazn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ěji upozornil hosty na zač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átek plesu?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Kde by mohla podobná hudba znít?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Poslechn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si uk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ázku 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 jednou, a zkuste vystihnout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ísto, kde zazní velký signál, který má upozornit hosty k pozornosti. Kdo pozná, tak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řeba zvedne ruku nebo vyskoč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   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Tuto melodii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žil Josef Haydn ve sv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symfonii, ale vy, si ji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ůžete zkusit zazp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ívat spole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čně s mamkou nebo taťkou. Jde to i s touto nahr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ávkou. Zkuste si to.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0202" w:dyaOrig="3500">
          <v:rect xmlns:o="urn:schemas-microsoft-com:office:office" xmlns:v="urn:schemas-microsoft-com:vml" id="rectole0000000000" style="width:510.100000pt;height:175.0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Práce s hudebními nástroji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i/>
          <w:color w:val="C0C0C0"/>
          <w:spacing w:val="0"/>
          <w:position w:val="0"/>
          <w:sz w:val="24"/>
          <w:shd w:fill="0000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Takový orchestr, který hraje lidem k tanci, je slo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žen z 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íce hrá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čů na hudebn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nástroj. Ti musejí navzájem spolupracovat, aby byla skladba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ěkně zahran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á. Aby to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ěli muzikanti snazš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pomáhá jim dirigent. Ten stojí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čelem k orchestru a ud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ává tempo, ukazuje hrá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čům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ástupy a pomocí pohyb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rukou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ává hudb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ýraz. Diriguje pomocí dirigentské 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ůlky. My jsme si společně na takov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orchestr v minulé hodin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zahr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áli, pamatuje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š?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hra na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ívka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hra 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činelky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hra na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řevěn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blok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hra na triangl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Skladba je ve dvou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čtvrťov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taktu,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skupinka zahraje dv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ěma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údery (to jsou dv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noty osminov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é) na jednu z dob.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skupina hraje následovn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po sobě. Zn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ázorn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ěno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že. Pokud 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áte doma tyto nástroje, vymyslete, co byste mohli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 jako hudební nástroj. Já jsem doma pou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žila vařečky, plechovky, poklice od hrnce……  je třeba, aby byli v orchestru čtyři hr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či, takže poproste rodiče a sourozence, zda by si s 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ámi zahráli.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0202" w:dyaOrig="6499">
          <v:rect xmlns:o="urn:schemas-microsoft-com:office:office" xmlns:v="urn:schemas-microsoft-com:vml" id="rectole0000000001" style="width:510.100000pt;height:324.9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Hra na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ělo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Stejným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ůsobem, kdy rozděl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íme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ěti do 4 skupin, si tuto skladbu můžeme doprovodit hrou na tělo. 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plesk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 (do stehen)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tlesk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skupina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plesk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 (do bok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ů)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řikl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i pracovní list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dok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žete naj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 správnou cestu? </w: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0254" w:dyaOrig="15552">
          <v:rect xmlns:o="urn:schemas-microsoft-com:office:office" xmlns:v="urn:schemas-microsoft-com:vml" id="rectole0000000002" style="width:512.700000pt;height:777.6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numbering.xml" Id="docRId7" Type="http://schemas.openxmlformats.org/officeDocument/2006/relationships/numbering" /><Relationship TargetMode="External" Target="https://www.youtube.com/watch?v=VOLy6JxEDLw" Id="docRId0" Type="http://schemas.openxmlformats.org/officeDocument/2006/relationships/hyperlink" /><Relationship Target="media/image0.wmf" Id="docRId2" Type="http://schemas.openxmlformats.org/officeDocument/2006/relationships/image" /><Relationship Target="media/image1.wmf" Id="docRId4" Type="http://schemas.openxmlformats.org/officeDocument/2006/relationships/image" /><Relationship Target="media/image2.wmf" Id="docRId6" Type="http://schemas.openxmlformats.org/officeDocument/2006/relationships/image" /><Relationship Target="styles.xml" Id="docRId8" Type="http://schemas.openxmlformats.org/officeDocument/2006/relationships/styles" /><Relationship Target="embeddings/oleObject0.bin" Id="docRId1" Type="http://schemas.openxmlformats.org/officeDocument/2006/relationships/oleObject" /><Relationship Target="embeddings/oleObject2.bin" Id="docRId5" Type="http://schemas.openxmlformats.org/officeDocument/2006/relationships/oleObject" /></Relationships>
</file>